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Politici Educaționale (PE)</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III</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I</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Titularul cursului: </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Lect. Univ. Dr. Bogdan Florian</w:t>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jc w:val="center"/>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6</w:t>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pacing w:after="0" w:line="360" w:lineRule="auto"/>
        <w:ind w:left="720" w:right="-567" w:hanging="360"/>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OBIECTIVELE DISCIPLINEI</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ind w:left="0" w:righ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ind w:left="0" w:right="-567"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Cursul "Politici Educationale" are ca obiectiv operationalizarea conceptelor teoretice dobandite in urma absolvirii de catre studenti a cursurilor care au ca tematica generala politicile publice. Domeniul de studiu este cel al educatiei in general si a problematicii interventiei guvernamentale in acest domeniu prin intermediul instrumentelor specifice politicilor publice. Din aceasta perspectiva activitatile grupate in acest curs vor urmari mai degraba elementele specifice educatiei si vor porni de la premisa ca elementele teoretice privind politicile publice sunt deja cunoscute de catre participanti.</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360" w:lineRule="auto"/>
        <w:ind w:left="360" w:right="-567"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B1. </w:t>
      </w:r>
      <w:r w:rsidDel="00000000" w:rsidR="00000000" w:rsidRPr="00000000">
        <w:rPr>
          <w:rFonts w:ascii="Times New Roman" w:cs="Times New Roman" w:eastAsia="Times New Roman" w:hAnsi="Times New Roman"/>
          <w:b w:val="1"/>
          <w:bCs w:val="1"/>
          <w:color w:val="000000"/>
          <w:rtl w:val="0"/>
        </w:rPr>
        <w:t xml:space="preserve">de curriculum</w:t>
      </w:r>
      <w:r w:rsidDel="00000000" w:rsidR="00000000" w:rsidRPr="00000000">
        <w:rPr>
          <w:rFonts w:ascii="Times New Roman" w:cs="Times New Roman" w:eastAsia="Times New Roman" w:hAnsi="Times New Roman"/>
          <w:color w:val="000000"/>
          <w:rtl w:val="0"/>
        </w:rPr>
        <w:tab/>
        <w:t xml:space="preserve">-  absolvirea cursului ”Politici Publice”; absolvirea cursului ”Metode de cercetare social politică”; absolvirea ”Laboratorului de informatică aplicată în științele sociale”</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360" w:lineRule="auto"/>
        <w:ind w:left="360" w:right="-567"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B2.  </w:t>
      </w:r>
      <w:r w:rsidDel="00000000" w:rsidR="00000000" w:rsidRPr="00000000">
        <w:rPr>
          <w:rFonts w:ascii="Times New Roman" w:cs="Times New Roman" w:eastAsia="Times New Roman" w:hAnsi="Times New Roman"/>
          <w:b w:val="1"/>
          <w:bCs w:val="1"/>
          <w:color w:val="000000"/>
          <w:rtl w:val="0"/>
        </w:rPr>
        <w:t xml:space="preserve">de competenţe</w:t>
      </w:r>
      <w:r w:rsidDel="00000000" w:rsidR="00000000" w:rsidRPr="00000000">
        <w:rPr>
          <w:rtl w:val="0"/>
        </w:rPr>
      </w:r>
    </w:p>
    <w:p w:rsidR="00000000" w:rsidDel="00000000" w:rsidP="00000000" w:rsidRDefault="00000000" w:rsidRPr="00000000" w14:paraId="00000033">
      <w:pPr>
        <w:numPr>
          <w:ilvl w:val="0"/>
          <w:numId w:val="2"/>
        </w:numPr>
        <w:pBdr>
          <w:top w:space="0" w:sz="0" w:val="nil"/>
          <w:left w:space="0" w:sz="0" w:val="nil"/>
          <w:bottom w:space="0" w:sz="0" w:val="nil"/>
          <w:right w:space="0" w:sz="0" w:val="nil"/>
          <w:between w:space="0" w:sz="0" w:val="nil"/>
        </w:pBdr>
        <w:spacing w:after="0" w:line="360" w:lineRule="auto"/>
        <w:ind w:left="720" w:right="-567" w:hanging="360"/>
        <w:jc w:val="both"/>
        <w:rPr/>
      </w:pPr>
      <w:r w:rsidDel="00000000" w:rsidR="00000000" w:rsidRPr="00000000">
        <w:rPr>
          <w:rFonts w:ascii="Times New Roman" w:cs="Times New Roman" w:eastAsia="Times New Roman" w:hAnsi="Times New Roman"/>
          <w:color w:val="000000"/>
          <w:rtl w:val="0"/>
        </w:rPr>
        <w:t xml:space="preserve">capacitatea de a aloca timp învățatului</w:t>
      </w:r>
      <w:r w:rsidDel="00000000" w:rsidR="00000000" w:rsidRPr="00000000">
        <w:rPr>
          <w:rtl w:val="0"/>
        </w:rPr>
      </w:r>
    </w:p>
    <w:p w:rsidR="00000000" w:rsidDel="00000000" w:rsidP="00000000" w:rsidRDefault="00000000" w:rsidRPr="00000000" w14:paraId="00000034">
      <w:pPr>
        <w:numPr>
          <w:ilvl w:val="0"/>
          <w:numId w:val="2"/>
        </w:numPr>
        <w:pBdr>
          <w:top w:space="0" w:sz="0" w:val="nil"/>
          <w:left w:space="0" w:sz="0" w:val="nil"/>
          <w:bottom w:space="0" w:sz="0" w:val="nil"/>
          <w:right w:space="0" w:sz="0" w:val="nil"/>
          <w:between w:space="0" w:sz="0" w:val="nil"/>
        </w:pBdr>
        <w:spacing w:after="0" w:line="360" w:lineRule="auto"/>
        <w:ind w:left="720" w:right="-567" w:hanging="360"/>
        <w:jc w:val="both"/>
        <w:rPr/>
      </w:pPr>
      <w:r w:rsidDel="00000000" w:rsidR="00000000" w:rsidRPr="00000000">
        <w:rPr>
          <w:rFonts w:ascii="Times New Roman" w:cs="Times New Roman" w:eastAsia="Times New Roman" w:hAnsi="Times New Roman"/>
          <w:color w:val="000000"/>
          <w:rtl w:val="0"/>
        </w:rPr>
        <w:t xml:space="preserve">autonomie, disciplina, perseverenta in procesul de învățare</w:t>
      </w:r>
      <w:r w:rsidDel="00000000" w:rsidR="00000000" w:rsidRPr="00000000">
        <w:rPr>
          <w:rtl w:val="0"/>
        </w:rPr>
      </w:r>
    </w:p>
    <w:p w:rsidR="00000000" w:rsidDel="00000000" w:rsidP="00000000" w:rsidRDefault="00000000" w:rsidRPr="00000000" w14:paraId="00000035">
      <w:pPr>
        <w:numPr>
          <w:ilvl w:val="0"/>
          <w:numId w:val="2"/>
        </w:numPr>
        <w:pBdr>
          <w:top w:space="0" w:sz="0" w:val="nil"/>
          <w:left w:space="0" w:sz="0" w:val="nil"/>
          <w:bottom w:space="0" w:sz="0" w:val="nil"/>
          <w:right w:space="0" w:sz="0" w:val="nil"/>
          <w:between w:space="0" w:sz="0" w:val="nil"/>
        </w:pBdr>
        <w:spacing w:after="0" w:line="360" w:lineRule="auto"/>
        <w:ind w:left="720" w:right="-567" w:hanging="360"/>
        <w:jc w:val="both"/>
        <w:rPr/>
      </w:pPr>
      <w:r w:rsidDel="00000000" w:rsidR="00000000" w:rsidRPr="00000000">
        <w:rPr>
          <w:rFonts w:ascii="Times New Roman" w:cs="Times New Roman" w:eastAsia="Times New Roman" w:hAnsi="Times New Roman"/>
          <w:color w:val="000000"/>
          <w:rtl w:val="0"/>
        </w:rPr>
        <w:t xml:space="preserve">capacitatea de concentrare pe termen scurt si pe termen lung</w:t>
      </w:r>
      <w:r w:rsidDel="00000000" w:rsidR="00000000" w:rsidRPr="00000000">
        <w:rPr>
          <w:rtl w:val="0"/>
        </w:rPr>
      </w:r>
    </w:p>
    <w:p w:rsidR="00000000" w:rsidDel="00000000" w:rsidP="00000000" w:rsidRDefault="00000000" w:rsidRPr="00000000" w14:paraId="00000036">
      <w:pPr>
        <w:numPr>
          <w:ilvl w:val="0"/>
          <w:numId w:val="2"/>
        </w:numPr>
        <w:pBdr>
          <w:top w:space="0" w:sz="0" w:val="nil"/>
          <w:left w:space="0" w:sz="0" w:val="nil"/>
          <w:bottom w:space="0" w:sz="0" w:val="nil"/>
          <w:right w:space="0" w:sz="0" w:val="nil"/>
          <w:between w:space="0" w:sz="0" w:val="nil"/>
        </w:pBdr>
        <w:spacing w:after="0" w:line="360" w:lineRule="auto"/>
        <w:ind w:left="720" w:right="-567" w:hanging="360"/>
        <w:jc w:val="both"/>
        <w:rPr/>
      </w:pPr>
      <w:r w:rsidDel="00000000" w:rsidR="00000000" w:rsidRPr="00000000">
        <w:rPr>
          <w:rFonts w:ascii="Times New Roman" w:cs="Times New Roman" w:eastAsia="Times New Roman" w:hAnsi="Times New Roman"/>
          <w:color w:val="000000"/>
          <w:rtl w:val="0"/>
        </w:rPr>
        <w:t xml:space="preserve">capacitatea de a reflecta critic asupra obiectului si scopului învățării</w:t>
      </w:r>
      <w:r w:rsidDel="00000000" w:rsidR="00000000" w:rsidRPr="00000000">
        <w:rPr>
          <w:rtl w:val="0"/>
        </w:rPr>
      </w:r>
    </w:p>
    <w:p w:rsidR="00000000" w:rsidDel="00000000" w:rsidP="00000000" w:rsidRDefault="00000000" w:rsidRPr="00000000" w14:paraId="00000037">
      <w:pPr>
        <w:numPr>
          <w:ilvl w:val="0"/>
          <w:numId w:val="2"/>
        </w:numPr>
        <w:pBdr>
          <w:top w:space="0" w:sz="0" w:val="nil"/>
          <w:left w:space="0" w:sz="0" w:val="nil"/>
          <w:bottom w:space="0" w:sz="0" w:val="nil"/>
          <w:right w:space="0" w:sz="0" w:val="nil"/>
          <w:between w:space="0" w:sz="0" w:val="nil"/>
        </w:pBdr>
        <w:spacing w:after="0" w:line="360" w:lineRule="auto"/>
        <w:ind w:left="720" w:right="-567" w:hanging="360"/>
        <w:jc w:val="both"/>
        <w:rPr/>
      </w:pPr>
      <w:r w:rsidDel="00000000" w:rsidR="00000000" w:rsidRPr="00000000">
        <w:rPr>
          <w:rFonts w:ascii="Times New Roman" w:cs="Times New Roman" w:eastAsia="Times New Roman" w:hAnsi="Times New Roman"/>
          <w:color w:val="000000"/>
          <w:rtl w:val="0"/>
        </w:rPr>
        <w:t xml:space="preserve">capacitatea de a citi si înțelege diferite texte adoptând strategia potrivita scopului citirii (informare / instruire / de plăcere) si diferitelor tipuri de text</w:t>
      </w:r>
      <w:r w:rsidDel="00000000" w:rsidR="00000000" w:rsidRPr="00000000">
        <w:rPr>
          <w:rtl w:val="0"/>
        </w:rPr>
      </w:r>
    </w:p>
    <w:p w:rsidR="00000000" w:rsidDel="00000000" w:rsidP="00000000" w:rsidRDefault="00000000" w:rsidRPr="00000000" w14:paraId="00000038">
      <w:pPr>
        <w:numPr>
          <w:ilvl w:val="0"/>
          <w:numId w:val="2"/>
        </w:numPr>
        <w:pBdr>
          <w:top w:space="0" w:sz="0" w:val="nil"/>
          <w:left w:space="0" w:sz="0" w:val="nil"/>
          <w:bottom w:space="0" w:sz="0" w:val="nil"/>
          <w:right w:space="0" w:sz="0" w:val="nil"/>
          <w:between w:space="0" w:sz="0" w:val="nil"/>
        </w:pBdr>
        <w:spacing w:after="0" w:line="360" w:lineRule="auto"/>
        <w:ind w:left="720" w:right="-567" w:hanging="360"/>
        <w:jc w:val="both"/>
        <w:rPr/>
      </w:pPr>
      <w:r w:rsidDel="00000000" w:rsidR="00000000" w:rsidRPr="00000000">
        <w:rPr>
          <w:rFonts w:ascii="Times New Roman" w:cs="Times New Roman" w:eastAsia="Times New Roman" w:hAnsi="Times New Roman"/>
          <w:color w:val="000000"/>
          <w:rtl w:val="0"/>
        </w:rPr>
        <w:t xml:space="preserve">capacitatea de a distinge informația relevanta de cea nerelevanta</w:t>
      </w:r>
      <w:r w:rsidDel="00000000" w:rsidR="00000000" w:rsidRPr="00000000">
        <w:rPr>
          <w:rtl w:val="0"/>
        </w:rPr>
      </w:r>
    </w:p>
    <w:p w:rsidR="00000000" w:rsidDel="00000000" w:rsidP="00000000" w:rsidRDefault="00000000" w:rsidRPr="00000000" w14:paraId="00000039">
      <w:pPr>
        <w:numPr>
          <w:ilvl w:val="0"/>
          <w:numId w:val="2"/>
        </w:numPr>
        <w:pBdr>
          <w:top w:space="0" w:sz="0" w:val="nil"/>
          <w:left w:space="0" w:sz="0" w:val="nil"/>
          <w:bottom w:space="0" w:sz="0" w:val="nil"/>
          <w:right w:space="0" w:sz="0" w:val="nil"/>
          <w:between w:space="0" w:sz="0" w:val="nil"/>
        </w:pBdr>
        <w:spacing w:after="0" w:line="360" w:lineRule="auto"/>
        <w:ind w:left="720" w:right="-567" w:hanging="360"/>
        <w:jc w:val="both"/>
        <w:rPr/>
      </w:pPr>
      <w:r w:rsidDel="00000000" w:rsidR="00000000" w:rsidRPr="00000000">
        <w:rPr>
          <w:rFonts w:ascii="Times New Roman" w:cs="Times New Roman" w:eastAsia="Times New Roman" w:hAnsi="Times New Roman"/>
          <w:color w:val="000000"/>
          <w:rtl w:val="0"/>
        </w:rPr>
        <w:t xml:space="preserve">capacitatea de a-ti formula propriile argumente într-o maniera convingătoare si a lua in considerație alte puncte de vedere exprimate atât verbal cat si in scris</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Competenţe profesionale</w:t>
        <w:tab/>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Aptitudini si competente stiintifice si tehnologice:</w:t>
      </w:r>
      <w:r w:rsidDel="00000000" w:rsidR="00000000" w:rsidRPr="00000000">
        <w:rPr>
          <w:rtl w:val="0"/>
        </w:rPr>
      </w:r>
    </w:p>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capacitatea de a utiliza si manipula computerul și programele de analiză a datelor, redactare și prezentare a lucrărilor.</w:t>
      </w:r>
      <w:r w:rsidDel="00000000" w:rsidR="00000000" w:rsidRPr="00000000">
        <w:rPr>
          <w:rtl w:val="0"/>
        </w:rPr>
      </w:r>
    </w:p>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capacitatea de a identifica provocări specifice din domeniul educației și de a formula politici care să adreseze aceste provocări</w:t>
      </w:r>
      <w:r w:rsidDel="00000000" w:rsidR="00000000" w:rsidRPr="00000000">
        <w:rPr>
          <w:rtl w:val="0"/>
        </w:rPr>
      </w:r>
    </w:p>
    <w:p w:rsidR="00000000" w:rsidDel="00000000" w:rsidP="00000000" w:rsidRDefault="00000000" w:rsidRPr="00000000" w14:paraId="0000003F">
      <w:pPr>
        <w:numPr>
          <w:ilvl w:val="0"/>
          <w:numId w:val="4"/>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capacitatea de a comunica concluziile unei cercetări / plan de politici publice si rationamentele care au stat la baza acestora</w:t>
      </w:r>
      <w:r w:rsidDel="00000000" w:rsidR="00000000" w:rsidRPr="00000000">
        <w:rPr>
          <w:rtl w:val="0"/>
        </w:rPr>
      </w:r>
    </w:p>
    <w:p w:rsidR="00000000" w:rsidDel="00000000" w:rsidP="00000000" w:rsidRDefault="00000000" w:rsidRPr="00000000" w14:paraId="00000040">
      <w:pPr>
        <w:numPr>
          <w:ilvl w:val="0"/>
          <w:numId w:val="3"/>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Aptitudini si competente civice, interpersonale, interculturale si sociale</w:t>
      </w:r>
      <w:r w:rsidDel="00000000" w:rsidR="00000000" w:rsidRPr="00000000">
        <w:rPr>
          <w:rtl w:val="0"/>
        </w:rPr>
      </w:r>
    </w:p>
    <w:p w:rsidR="00000000" w:rsidDel="00000000" w:rsidP="00000000" w:rsidRDefault="00000000" w:rsidRPr="00000000" w14:paraId="00000041">
      <w:pPr>
        <w:numPr>
          <w:ilvl w:val="0"/>
          <w:numId w:val="6"/>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capacitatea de a manifesta solidaritate in a rezolva provocări și probleme specifice sistemului educațional (acces și participare, calitate, relevanță, finanțare și altele) care afecteaza performanța sistemului la nivel național, dar și comparativ la nivel european.</w:t>
      </w:r>
      <w:r w:rsidDel="00000000" w:rsidR="00000000" w:rsidRPr="00000000">
        <w:rPr>
          <w:rtl w:val="0"/>
        </w:rPr>
      </w:r>
    </w:p>
    <w:p w:rsidR="00000000" w:rsidDel="00000000" w:rsidP="00000000" w:rsidRDefault="00000000" w:rsidRPr="00000000" w14:paraId="00000042">
      <w:pPr>
        <w:numPr>
          <w:ilvl w:val="0"/>
          <w:numId w:val="6"/>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capacitatea de a relationa eficient cu institutii din domeniul public în demersul de cunoaștere a unei problematici specifice</w:t>
      </w:r>
      <w:r w:rsidDel="00000000" w:rsidR="00000000" w:rsidRPr="00000000">
        <w:rPr>
          <w:rtl w:val="0"/>
        </w:rPr>
      </w:r>
    </w:p>
    <w:p w:rsidR="00000000" w:rsidDel="00000000" w:rsidP="00000000" w:rsidRDefault="00000000" w:rsidRPr="00000000" w14:paraId="00000043">
      <w:pPr>
        <w:numPr>
          <w:ilvl w:val="0"/>
          <w:numId w:val="6"/>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capacitatea de a comunica constructiv in situatii sociale diferite (a tolera alte puncte de vedere, a constientiza responsabilitatea individuala si colectiva), în special prin organizarea unor dezbateri</w:t>
      </w:r>
      <w:r w:rsidDel="00000000" w:rsidR="00000000" w:rsidRPr="00000000">
        <w:rPr>
          <w:rtl w:val="0"/>
        </w:rPr>
      </w:r>
    </w:p>
    <w:p w:rsidR="00000000" w:rsidDel="00000000" w:rsidP="00000000" w:rsidRDefault="00000000" w:rsidRPr="00000000" w14:paraId="00000044">
      <w:pPr>
        <w:numPr>
          <w:ilvl w:val="0"/>
          <w:numId w:val="6"/>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capacitatea de a separa intre viata personala si cea profesionala</w:t>
      </w:r>
      <w:r w:rsidDel="00000000" w:rsidR="00000000" w:rsidRPr="00000000">
        <w:rPr>
          <w:rtl w:val="0"/>
        </w:rPr>
      </w:r>
    </w:p>
    <w:p w:rsidR="00000000" w:rsidDel="00000000" w:rsidP="00000000" w:rsidRDefault="00000000" w:rsidRPr="00000000" w14:paraId="00000045">
      <w:pPr>
        <w:numPr>
          <w:ilvl w:val="0"/>
          <w:numId w:val="6"/>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capacitatea de a constientiza si intelege în context european și internațional comparativ condițiile specifice sistemului național de educație</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Competenţe transversale</w:t>
      </w:r>
    </w:p>
    <w:p w:rsidR="00000000" w:rsidDel="00000000" w:rsidP="00000000" w:rsidRDefault="00000000" w:rsidRPr="00000000" w14:paraId="00000047">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Utilizarea pe tot parcursul activităților a competențelor digitale: utilizarea surselor academice de informare, prin consultarea bazelor de date cu articole academice; utilizarea programelor pentru redactare de text, analiză de date, prezentare, etc. utilizarea unei platforme online (e.politice.ro) pentru organizarea unor activități online cu rol educational.</w:t>
      </w:r>
      <w:r w:rsidDel="00000000" w:rsidR="00000000" w:rsidRPr="00000000">
        <w:rPr>
          <w:rtl w:val="0"/>
        </w:rPr>
      </w:r>
    </w:p>
    <w:p w:rsidR="00000000" w:rsidDel="00000000" w:rsidP="00000000" w:rsidRDefault="00000000" w:rsidRPr="00000000" w14:paraId="00000048">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Spiritul de inițiativă și antreprenoriat: este o competență adresată prin oferirea unui cadru simulat de elaborare a unei propuneri de politică publică, respectiv proiect de cercetare (care include nu doar dimensiunea științifică ci și implementarea propriu-zisă a proiectului), în funcție de opțiunile și interesele persoanelor care participă la curs și seminar.</w:t>
      </w:r>
      <w:r w:rsidDel="00000000" w:rsidR="00000000" w:rsidRPr="00000000">
        <w:rPr>
          <w:rtl w:val="0"/>
        </w:rPr>
      </w:r>
    </w:p>
    <w:p w:rsidR="00000000" w:rsidDel="00000000" w:rsidP="00000000" w:rsidRDefault="00000000" w:rsidRPr="00000000" w14:paraId="00000049">
      <w:pPr>
        <w:numPr>
          <w:ilvl w:val="0"/>
          <w:numId w:val="5"/>
        </w:numPr>
        <w:pBdr>
          <w:top w:space="0" w:sz="0" w:val="nil"/>
          <w:left w:space="0" w:sz="0" w:val="nil"/>
          <w:bottom w:space="0" w:sz="0" w:val="nil"/>
          <w:right w:space="0" w:sz="0" w:val="nil"/>
          <w:between w:space="0" w:sz="0" w:val="nil"/>
        </w:pBdr>
        <w:spacing w:after="0" w:line="36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Competențe civice și sociale, altele decât cele fundamentale, sunt parțial realizate, în funcție de tematică, gradul de dificultate și complexitate și interesele persoanle ale participanților și participantelor la curs și seminar, cu privire la politica educațională sau proiectul de cercetare științifică propus.</w:t>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rPr>
      </w:pPr>
      <w:r w:rsidDel="00000000" w:rsidR="00000000" w:rsidRPr="00000000">
        <w:rPr>
          <w:rtl w:val="0"/>
        </w:rPr>
      </w:r>
    </w:p>
    <w:tbl>
      <w:tblPr>
        <w:tblStyle w:val="Table2"/>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Politici educaționale a avut loc în urma discutării conţinutului disciplinei şi a cerinţelor practice cu specialişti şi practicieni din domeniu, dar şi pornind de la competenţele profesionale cerute de piaţa muncii.</w:t>
            </w:r>
          </w:p>
        </w:tc>
      </w:tr>
    </w:tbl>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rPr>
      </w:pPr>
      <w:r w:rsidDel="00000000" w:rsidR="00000000" w:rsidRPr="00000000">
        <w:rPr>
          <w:rtl w:val="0"/>
        </w:rPr>
      </w:r>
    </w:p>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D">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4E">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4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5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 Studentul/Absolventul recunoaște, analizează și explică activitățile politice, planurile și intențiile unui guvern pentru o sesiune legislativă pentru cauze concrete.</w:t>
            </w:r>
          </w:p>
          <w:p w:rsidR="00000000" w:rsidDel="00000000" w:rsidP="00000000" w:rsidRDefault="00000000" w:rsidRPr="00000000" w14:paraId="0000005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C8: Studentul/Absolventul recunoaște, analizează și explică procedurile legate de aplicarea politicilor guvernamentale la toate nivelurile administrației publice.</w:t>
            </w:r>
          </w:p>
          <w:p w:rsidR="00000000" w:rsidDel="00000000" w:rsidP="00000000" w:rsidRDefault="00000000" w:rsidRPr="00000000" w14:paraId="00000052">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5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55">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5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7">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5A">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R2: Studentul/Absolventul tratează feedbackul negativ din partea celorlalți și reacționează în mod deschis la critici, încercând să identifice domeniile în care se pot aduce îmbunătățiri.</w:t>
            </w:r>
          </w:p>
          <w:p w:rsidR="00000000" w:rsidDel="00000000" w:rsidP="00000000" w:rsidRDefault="00000000" w:rsidRPr="00000000" w14:paraId="0000005B">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tbl>
      <w:tblPr>
        <w:tblStyle w:val="Table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75"/>
        <w:gridCol w:w="4695"/>
        <w:gridCol w:w="105"/>
        <w:tblGridChange w:id="0">
          <w:tblGrid>
            <w:gridCol w:w="4275"/>
            <w:gridCol w:w="4695"/>
            <w:gridCol w:w="105"/>
          </w:tblGrid>
        </w:tblGridChange>
      </w:tblGrid>
      <w:tr>
        <w:trPr>
          <w:cantSplit w:val="0"/>
          <w:tblHeader w:val="0"/>
        </w:trPr>
        <w:tc>
          <w:tcPr/>
          <w:p w:rsidR="00000000" w:rsidDel="00000000" w:rsidP="00000000" w:rsidRDefault="00000000" w:rsidRPr="00000000" w14:paraId="00000060">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8.1. Curs</w:t>
            </w:r>
          </w:p>
        </w:tc>
        <w:tc>
          <w:tcPr/>
          <w:p w:rsidR="00000000" w:rsidDel="00000000" w:rsidP="00000000" w:rsidRDefault="00000000" w:rsidRPr="00000000" w14:paraId="00000061">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Metode de predare</w:t>
            </w:r>
          </w:p>
        </w:tc>
      </w:tr>
      <w:tr>
        <w:trPr>
          <w:cantSplit w:val="0"/>
          <w:tblHeader w:val="0"/>
        </w:trPr>
        <w:tc>
          <w:tcPr/>
          <w:p w:rsidR="00000000" w:rsidDel="00000000" w:rsidP="00000000" w:rsidRDefault="00000000" w:rsidRPr="00000000" w14:paraId="0000006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Bunuri publice, bunuri private, pozitionarea educatiei în politicile publice.</w:t>
            </w:r>
          </w:p>
        </w:tc>
        <w:tc>
          <w:tcPr/>
          <w:p w:rsidR="00000000" w:rsidDel="00000000" w:rsidP="00000000" w:rsidRDefault="00000000" w:rsidRPr="00000000" w14:paraId="0000006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Expunere. Dezbatere</w:t>
            </w:r>
          </w:p>
        </w:tc>
      </w:tr>
      <w:tr>
        <w:trPr>
          <w:cantSplit w:val="0"/>
          <w:tblHeader w:val="0"/>
        </w:trPr>
        <w:tc>
          <w:tcPr/>
          <w:p w:rsidR="00000000" w:rsidDel="00000000" w:rsidP="00000000" w:rsidRDefault="00000000" w:rsidRPr="00000000" w14:paraId="0000006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Conceptul de ”performanță” în politicile publice și particularizarea acestuia în cazul educației. Metode, instrumente și practici de evaluare a politicilor publice din domeniul educației</w:t>
            </w:r>
          </w:p>
        </w:tc>
        <w:tc>
          <w:tcPr/>
          <w:p w:rsidR="00000000" w:rsidDel="00000000" w:rsidP="00000000" w:rsidRDefault="00000000" w:rsidRPr="00000000" w14:paraId="0000006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Expunere.</w:t>
            </w:r>
          </w:p>
        </w:tc>
      </w:tr>
      <w:tr>
        <w:trPr>
          <w:cantSplit w:val="0"/>
          <w:tblHeader w:val="0"/>
        </w:trPr>
        <w:tc>
          <w:tcPr/>
          <w:p w:rsidR="00000000" w:rsidDel="00000000" w:rsidP="00000000" w:rsidRDefault="00000000" w:rsidRPr="00000000" w14:paraId="0000006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Rolul statului în educație. Funcția administrativă a statului vs. Funcția de evaluare și planificare strategică (coordonare)</w:t>
            </w:r>
          </w:p>
        </w:tc>
        <w:tc>
          <w:tcPr/>
          <w:p w:rsidR="00000000" w:rsidDel="00000000" w:rsidP="00000000" w:rsidRDefault="00000000" w:rsidRPr="00000000" w14:paraId="0000006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Dezbatere. Activitate pe grupe.</w:t>
            </w:r>
          </w:p>
        </w:tc>
      </w:tr>
      <w:tr>
        <w:trPr>
          <w:cantSplit w:val="0"/>
          <w:tblHeader w:val="0"/>
        </w:trPr>
        <w:tc>
          <w:tcPr/>
          <w:p w:rsidR="00000000" w:rsidDel="00000000" w:rsidP="00000000" w:rsidRDefault="00000000" w:rsidRPr="00000000" w14:paraId="0000006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Provocări specifice sistemului educațional din România.</w:t>
            </w:r>
          </w:p>
        </w:tc>
        <w:tc>
          <w:tcPr/>
          <w:p w:rsidR="00000000" w:rsidDel="00000000" w:rsidP="00000000" w:rsidRDefault="00000000" w:rsidRPr="00000000" w14:paraId="0000006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Activitate pe grupe. Prezentări și dezbateri moderate. Discuții pe platforma online. Vizionare de film.</w:t>
            </w:r>
          </w:p>
        </w:tc>
      </w:tr>
      <w:tr>
        <w:trPr>
          <w:cantSplit w:val="0"/>
          <w:tblHeader w:val="0"/>
        </w:trPr>
        <w:tc>
          <w:tcPr/>
          <w:p w:rsidR="00000000" w:rsidDel="00000000" w:rsidP="00000000" w:rsidRDefault="00000000" w:rsidRPr="00000000" w14:paraId="0000006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Studiu de caz: analiza instituțională a sistemului universitar românesc. </w:t>
            </w:r>
          </w:p>
        </w:tc>
        <w:tc>
          <w:tcPr/>
          <w:p w:rsidR="00000000" w:rsidDel="00000000" w:rsidP="00000000" w:rsidRDefault="00000000" w:rsidRPr="00000000" w14:paraId="0000006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Expunere.</w:t>
            </w:r>
          </w:p>
        </w:tc>
      </w:tr>
      <w:tr>
        <w:trPr>
          <w:cantSplit w:val="0"/>
          <w:tblHeader w:val="0"/>
        </w:trPr>
        <w:tc>
          <w:tcPr/>
          <w:p w:rsidR="00000000" w:rsidDel="00000000" w:rsidP="00000000" w:rsidRDefault="00000000" w:rsidRPr="00000000" w14:paraId="0000006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Provocări actuale pentru universități. Analiza comparativă la nivel european privind studii de caz.</w:t>
            </w:r>
          </w:p>
        </w:tc>
        <w:tc>
          <w:tcPr/>
          <w:p w:rsidR="00000000" w:rsidDel="00000000" w:rsidP="00000000" w:rsidRDefault="00000000" w:rsidRPr="00000000" w14:paraId="0000006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Activitate pe grupe. Prezentare. Dezbatere.</w:t>
            </w:r>
          </w:p>
        </w:tc>
      </w:tr>
      <w:tr>
        <w:trPr>
          <w:cantSplit w:val="0"/>
          <w:trHeight w:val="236" w:hRule="atLeast"/>
          <w:tblHeader w:val="0"/>
        </w:trPr>
        <w:tc>
          <w:tcPr>
            <w:gridSpan w:val="3"/>
            <w:shd w:fill="000000" w:val="clear"/>
          </w:tcPr>
          <w:p w:rsidR="00000000" w:rsidDel="00000000" w:rsidP="00000000" w:rsidRDefault="00000000" w:rsidRPr="00000000" w14:paraId="0000006E">
            <w:pPr>
              <w:widowControl w:val="0"/>
              <w:spacing w:after="0" w:line="240" w:lineRule="auto"/>
              <w:rPr>
                <w:rFonts w:ascii="Times New Roman" w:cs="Times New Roman" w:eastAsia="Times New Roman" w:hAnsi="Times New Roman"/>
                <w:b w:val="1"/>
                <w:bCs w:val="1"/>
              </w:rPr>
            </w:pPr>
            <w:r w:rsidDel="00000000" w:rsidR="00000000" w:rsidRPr="00000000">
              <w:rPr>
                <w:rtl w:val="0"/>
              </w:rPr>
            </w:r>
          </w:p>
        </w:tc>
      </w:tr>
      <w:tr>
        <w:trPr>
          <w:cantSplit w:val="0"/>
          <w:tblHeader w:val="0"/>
        </w:trPr>
        <w:tc>
          <w:tcPr/>
          <w:p w:rsidR="00000000" w:rsidDel="00000000" w:rsidP="00000000" w:rsidRDefault="00000000" w:rsidRPr="00000000" w14:paraId="0000007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8.2. Seminar/laborator</w:t>
            </w:r>
          </w:p>
        </w:tc>
        <w:tc>
          <w:tcPr/>
          <w:p w:rsidR="00000000" w:rsidDel="00000000" w:rsidP="00000000" w:rsidRDefault="00000000" w:rsidRPr="00000000" w14:paraId="00000072">
            <w:pPr>
              <w:spacing w:after="0" w:line="240" w:lineRule="auto"/>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7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Introducerea seminarului, clarificări administrative, evaluare ghid de analiză a politicilor educaționale</w:t>
            </w:r>
          </w:p>
        </w:tc>
        <w:tc>
          <w:tcPr/>
          <w:p w:rsidR="00000000" w:rsidDel="00000000" w:rsidP="00000000" w:rsidRDefault="00000000" w:rsidRPr="00000000" w14:paraId="0000007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Expunere frontală, întrebări direcționate, lucru pe grupe</w:t>
            </w:r>
          </w:p>
        </w:tc>
      </w:tr>
      <w:tr>
        <w:trPr>
          <w:cantSplit w:val="0"/>
          <w:tblHeader w:val="0"/>
        </w:trPr>
        <w:tc>
          <w:tcPr/>
          <w:p w:rsidR="00000000" w:rsidDel="00000000" w:rsidP="00000000" w:rsidRDefault="00000000" w:rsidRPr="00000000" w14:paraId="0000007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Metodologia cercetării în educație</w:t>
            </w:r>
          </w:p>
        </w:tc>
        <w:tc>
          <w:tcPr/>
          <w:p w:rsidR="00000000" w:rsidDel="00000000" w:rsidP="00000000" w:rsidRDefault="00000000" w:rsidRPr="00000000" w14:paraId="0000007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Discuție pe baza textelor, dezbateri</w:t>
            </w:r>
          </w:p>
        </w:tc>
      </w:tr>
      <w:tr>
        <w:trPr>
          <w:cantSplit w:val="0"/>
          <w:tblHeader w:val="0"/>
        </w:trPr>
        <w:tc>
          <w:tcPr/>
          <w:p w:rsidR="00000000" w:rsidDel="00000000" w:rsidP="00000000" w:rsidRDefault="00000000" w:rsidRPr="00000000" w14:paraId="0000007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Evaluarea politicilor și programelor educaționale</w:t>
            </w:r>
          </w:p>
        </w:tc>
        <w:tc>
          <w:tcPr/>
          <w:p w:rsidR="00000000" w:rsidDel="00000000" w:rsidP="00000000" w:rsidRDefault="00000000" w:rsidRPr="00000000" w14:paraId="0000007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Discuție pe baza textelor, aplicații plecând de la documente de politici educaționale</w:t>
            </w:r>
          </w:p>
        </w:tc>
      </w:tr>
      <w:tr>
        <w:trPr>
          <w:cantSplit w:val="0"/>
          <w:tblHeader w:val="0"/>
        </w:trPr>
        <w:tc>
          <w:tcPr/>
          <w:p w:rsidR="00000000" w:rsidDel="00000000" w:rsidP="00000000" w:rsidRDefault="00000000" w:rsidRPr="00000000" w14:paraId="0000007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Analiza politicilor și programelor cu privire la accesul și participarea în educație (1)</w:t>
            </w:r>
          </w:p>
        </w:tc>
        <w:tc>
          <w:tcPr/>
          <w:p w:rsidR="00000000" w:rsidDel="00000000" w:rsidP="00000000" w:rsidRDefault="00000000" w:rsidRPr="00000000" w14:paraId="0000007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Discuție pe baza textelor, prezentări ale unor programe care și-au propus să îmbunătățească accesul și participare la educație din lume </w:t>
            </w:r>
          </w:p>
        </w:tc>
      </w:tr>
      <w:tr>
        <w:trPr>
          <w:cantSplit w:val="0"/>
          <w:tblHeader w:val="0"/>
        </w:trPr>
        <w:tc>
          <w:tcPr/>
          <w:p w:rsidR="00000000" w:rsidDel="00000000" w:rsidP="00000000" w:rsidRDefault="00000000" w:rsidRPr="00000000" w14:paraId="0000007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Analiza politicilor și programelor cu privire la accesul și participarea în educație (2)</w:t>
            </w:r>
          </w:p>
        </w:tc>
        <w:tc>
          <w:tcPr/>
          <w:p w:rsidR="00000000" w:rsidDel="00000000" w:rsidP="00000000" w:rsidRDefault="00000000" w:rsidRPr="00000000" w14:paraId="0000007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Prezentări privind programe menite să faciliteze accesul și participarea la educație din România; comparație cu programe asemănătoare</w:t>
            </w:r>
          </w:p>
        </w:tc>
      </w:tr>
      <w:tr>
        <w:trPr>
          <w:cantSplit w:val="0"/>
          <w:tblHeader w:val="0"/>
        </w:trPr>
        <w:tc>
          <w:tcPr/>
          <w:p w:rsidR="00000000" w:rsidDel="00000000" w:rsidP="00000000" w:rsidRDefault="00000000" w:rsidRPr="00000000" w14:paraId="0000007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Rolul politicilor educaționale și contribuția școlii în reducerea inegalităților sociale</w:t>
            </w:r>
          </w:p>
        </w:tc>
        <w:tc>
          <w:tcPr/>
          <w:p w:rsidR="00000000" w:rsidDel="00000000" w:rsidP="00000000" w:rsidRDefault="00000000" w:rsidRPr="00000000" w14:paraId="0000007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Expunere frontală, analiză date statistice – aplicații pe sistemul de învățământ românesc</w:t>
            </w:r>
          </w:p>
        </w:tc>
      </w:tr>
      <w:tr>
        <w:trPr>
          <w:cantSplit w:val="0"/>
          <w:tblHeader w:val="0"/>
        </w:trPr>
        <w:tc>
          <w:tcPr/>
          <w:p w:rsidR="00000000" w:rsidDel="00000000" w:rsidP="00000000" w:rsidRDefault="00000000" w:rsidRPr="00000000" w14:paraId="0000007F">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Performanța sistemelor de învățământ în context internațional (1)</w:t>
            </w:r>
          </w:p>
        </w:tc>
        <w:tc>
          <w:tcPr/>
          <w:p w:rsidR="00000000" w:rsidDel="00000000" w:rsidP="00000000" w:rsidRDefault="00000000" w:rsidRPr="00000000" w14:paraId="0000008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Prezentări testări internaționale comparative (TIMSS, PIRLS, PISA)</w:t>
            </w:r>
          </w:p>
        </w:tc>
      </w:tr>
      <w:tr>
        <w:trPr>
          <w:cantSplit w:val="0"/>
          <w:tblHeader w:val="0"/>
        </w:trPr>
        <w:tc>
          <w:tcPr/>
          <w:p w:rsidR="00000000" w:rsidDel="00000000" w:rsidP="00000000" w:rsidRDefault="00000000" w:rsidRPr="00000000" w14:paraId="0000008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Performanța sistemelor de învățământ în context internațional (2)</w:t>
            </w:r>
          </w:p>
        </w:tc>
        <w:tc>
          <w:tcPr/>
          <w:p w:rsidR="00000000" w:rsidDel="00000000" w:rsidP="00000000" w:rsidRDefault="00000000" w:rsidRPr="00000000" w14:paraId="0000008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Analiza statistică factorilor care influențează performanța elevilor în sistemul de învățământ din România</w:t>
            </w:r>
          </w:p>
        </w:tc>
      </w:tr>
      <w:tr>
        <w:trPr>
          <w:cantSplit w:val="0"/>
          <w:tblHeader w:val="0"/>
        </w:trPr>
        <w:tc>
          <w:tcPr/>
          <w:p w:rsidR="00000000" w:rsidDel="00000000" w:rsidP="00000000" w:rsidRDefault="00000000" w:rsidRPr="00000000" w14:paraId="0000008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Cercetare calitativă privind dificultățile de acces și participare ale studenților în învățământul universitar (1)</w:t>
            </w:r>
          </w:p>
        </w:tc>
        <w:tc>
          <w:tcPr/>
          <w:p w:rsidR="00000000" w:rsidDel="00000000" w:rsidP="00000000" w:rsidRDefault="00000000" w:rsidRPr="00000000" w14:paraId="0000008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Stabilirea logicii cercetării, construcție grilă de interviu, stabilirea grupurilor de studenți care vor fi intervievați</w:t>
            </w:r>
          </w:p>
        </w:tc>
      </w:tr>
      <w:tr>
        <w:trPr>
          <w:cantSplit w:val="0"/>
          <w:tblHeader w:val="0"/>
        </w:trPr>
        <w:tc>
          <w:tcPr/>
          <w:p w:rsidR="00000000" w:rsidDel="00000000" w:rsidP="00000000" w:rsidRDefault="00000000" w:rsidRPr="00000000" w14:paraId="0000008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Cercetare calitativă privind dificultățile de acces și participare ale studenților în învățământul universitar (2)</w:t>
            </w:r>
          </w:p>
        </w:tc>
        <w:tc>
          <w:tcPr/>
          <w:p w:rsidR="00000000" w:rsidDel="00000000" w:rsidP="00000000" w:rsidRDefault="00000000" w:rsidRPr="00000000" w14:paraId="0000008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Testare grilă de interviu, exerciții de moderare</w:t>
            </w:r>
          </w:p>
        </w:tc>
      </w:tr>
      <w:tr>
        <w:trPr>
          <w:cantSplit w:val="0"/>
          <w:tblHeader w:val="0"/>
        </w:trPr>
        <w:tc>
          <w:tcPr/>
          <w:p w:rsidR="00000000" w:rsidDel="00000000" w:rsidP="00000000" w:rsidRDefault="00000000" w:rsidRPr="00000000" w14:paraId="0000008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Cercetare calitativă privind dificultățile de acces și participare ale studenților în învățământul universitar (3)</w:t>
            </w:r>
          </w:p>
        </w:tc>
        <w:tc>
          <w:tcPr/>
          <w:p w:rsidR="00000000" w:rsidDel="00000000" w:rsidP="00000000" w:rsidRDefault="00000000" w:rsidRPr="00000000" w14:paraId="0000008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Analiza datelor calitative și elaborarea unui raport de cercetare</w:t>
            </w:r>
          </w:p>
        </w:tc>
      </w:tr>
      <w:tr>
        <w:trPr>
          <w:cantSplit w:val="0"/>
          <w:tblHeader w:val="0"/>
        </w:trPr>
        <w:tc>
          <w:tcPr/>
          <w:p w:rsidR="00000000" w:rsidDel="00000000" w:rsidP="00000000" w:rsidRDefault="00000000" w:rsidRPr="00000000" w14:paraId="0000008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Evalurea logicii proiectului ROSE (Proiectul privind Învățământul Secundar din România)  din perspectiva rezultatelor cercetării calitative</w:t>
            </w:r>
          </w:p>
        </w:tc>
        <w:tc>
          <w:tcPr/>
          <w:p w:rsidR="00000000" w:rsidDel="00000000" w:rsidP="00000000" w:rsidRDefault="00000000" w:rsidRPr="00000000" w14:paraId="0000008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proiectului ROSE și analiza lor din perspectiva dificultăților de acces și participare identificate în cercetarea desfășurată</w:t>
            </w:r>
          </w:p>
        </w:tc>
      </w:tr>
      <w:tr>
        <w:trPr>
          <w:cantSplit w:val="0"/>
          <w:tblHeader w:val="0"/>
        </w:trPr>
        <w:tc>
          <w:tcPr/>
          <w:p w:rsidR="00000000" w:rsidDel="00000000" w:rsidP="00000000" w:rsidRDefault="00000000" w:rsidRPr="00000000" w14:paraId="0000008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 Redactarea unei propuneri de politici educaționale (1)</w:t>
            </w:r>
          </w:p>
        </w:tc>
        <w:tc>
          <w:tcPr/>
          <w:p w:rsidR="00000000" w:rsidDel="00000000" w:rsidP="00000000" w:rsidRDefault="00000000" w:rsidRPr="00000000" w14:paraId="0000008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Expunere frontală, lucru pe grupe, discuții direcționate</w:t>
            </w:r>
          </w:p>
        </w:tc>
      </w:tr>
      <w:tr>
        <w:trPr>
          <w:cantSplit w:val="0"/>
          <w:tblHeader w:val="0"/>
        </w:trPr>
        <w:tc>
          <w:tcPr/>
          <w:p w:rsidR="00000000" w:rsidDel="00000000" w:rsidP="00000000" w:rsidRDefault="00000000" w:rsidRPr="00000000" w14:paraId="0000008D">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 Redactarea unei propuneri de politici educaționale (2)</w:t>
            </w:r>
          </w:p>
        </w:tc>
        <w:tc>
          <w:tcPr/>
          <w:p w:rsidR="00000000" w:rsidDel="00000000" w:rsidP="00000000" w:rsidRDefault="00000000" w:rsidRPr="00000000" w14:paraId="0000008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Exerciții de scriere a unui document de politici educaționale</w:t>
            </w:r>
          </w:p>
        </w:tc>
      </w:tr>
    </w:tbl>
    <w:p w:rsidR="00000000" w:rsidDel="00000000" w:rsidP="00000000" w:rsidRDefault="00000000" w:rsidRPr="00000000" w14:paraId="0000008F">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90">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91">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5"/>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p w:rsidR="00000000" w:rsidDel="00000000" w:rsidP="00000000" w:rsidRDefault="00000000" w:rsidRPr="00000000" w14:paraId="00000092">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p w:rsidR="00000000" w:rsidDel="00000000" w:rsidP="00000000" w:rsidRDefault="00000000" w:rsidRPr="00000000" w14:paraId="00000093">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p w:rsidR="00000000" w:rsidDel="00000000" w:rsidP="00000000" w:rsidRDefault="00000000" w:rsidRPr="00000000" w14:paraId="00000094">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p w:rsidR="00000000" w:rsidDel="00000000" w:rsidP="00000000" w:rsidRDefault="00000000" w:rsidRPr="00000000" w14:paraId="0000009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p w:rsidR="00000000" w:rsidDel="00000000" w:rsidP="00000000" w:rsidRDefault="00000000" w:rsidRPr="00000000" w14:paraId="0000009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Evaluare continuă</w:t>
            </w:r>
          </w:p>
        </w:tc>
        <w:tc>
          <w:tcPr/>
          <w:p w:rsidR="00000000" w:rsidDel="00000000" w:rsidP="00000000" w:rsidRDefault="00000000" w:rsidRPr="00000000" w14:paraId="0000009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r>
        <w:trPr>
          <w:cantSplit w:val="0"/>
          <w:tblHeader w:val="0"/>
        </w:trPr>
        <w:tc>
          <w:tcPr/>
          <w:p w:rsidR="00000000" w:rsidDel="00000000" w:rsidP="00000000" w:rsidRDefault="00000000" w:rsidRPr="00000000" w14:paraId="0000009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p w:rsidR="00000000" w:rsidDel="00000000" w:rsidP="00000000" w:rsidRDefault="00000000" w:rsidRPr="00000000" w14:paraId="0000009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Evaluarea continuă</w:t>
            </w:r>
          </w:p>
        </w:tc>
        <w:tc>
          <w:tcPr/>
          <w:p w:rsidR="00000000" w:rsidDel="00000000" w:rsidP="00000000" w:rsidRDefault="00000000" w:rsidRPr="00000000" w14:paraId="0000009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09B">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9C">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6"/>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p w:rsidR="00000000" w:rsidDel="00000000" w:rsidP="00000000" w:rsidRDefault="00000000" w:rsidRPr="00000000" w14:paraId="0000009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p w:rsidR="00000000" w:rsidDel="00000000" w:rsidP="00000000" w:rsidRDefault="00000000" w:rsidRPr="00000000" w14:paraId="0000009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p w:rsidR="00000000" w:rsidDel="00000000" w:rsidP="00000000" w:rsidRDefault="00000000" w:rsidRPr="00000000" w14:paraId="0000009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0A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Absolvenții trebuie să dovedească: capacitatea de a manifesta solidaritate in a rezolva provocări și probleme specifice sistemului educațional (acces și participare, calitate, relevanță, finanțare și altele) care afecteaza performanța sistemului la nivel național; utilizarea surselor academice de informare, prin consultarea bazelor de date cu articole academice; utilizarea programelor pentru redactare de text, analiză de date, prezentare, etc. utilizarea unei platforme online (e.politice.ro) pentru organizarea unor activități online cu rol educational.</w:t>
            </w:r>
          </w:p>
        </w:tc>
      </w:tr>
      <w:tr>
        <w:trPr>
          <w:cantSplit w:val="0"/>
          <w:trHeight w:val="5595" w:hRule="atLeast"/>
          <w:tblHeader w:val="0"/>
        </w:trPr>
        <w:tc>
          <w:tcPr/>
          <w:p w:rsidR="00000000" w:rsidDel="00000000" w:rsidP="00000000" w:rsidRDefault="00000000" w:rsidRPr="00000000" w14:paraId="000000A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Absolvenții cursului trebuie să dovedească: capacitatea de a manifesta solidaritate in a rezolva provocări și probleme specifice sistemului educațional (acces și participare, calitate, relevanță, finanțare și altele) care afecteaza performanța sistemului la nivel național, dar și comparativ la nivel european; capacitatea de a relationa eficient cu institutii din domeniul public în demersul de cunoaștere a unei problematici specifice; capacitatea de a comunica constructiv in situatii sociale diferite (a tolera alte puncte de vedere, a constientiza responsabilitatea individuala si colectiva), în special prin organizarea unor dezbateri; capacitatea de a separa intre viata personala si cea profesionala; capacitatea de a constientiza si intelege în context european și internațional comparativ condițiile specifice sistemului național de educație. De asemenea absovenții vor trebui să utilizeze pe tot parcursul activităților competențele digitale: utilizarea surselor academice de informare, prin consultarea bazelor de date cu articole academice; utilizarea programelor pentru redactare de text, analiză de date, prezentare, etc. utilizarea unei platforme online (e.politice.ro) pentru organizarea unor activități online cu rol educational. În cele din urmă, spiritul de inițiativă și antreprenoriat: este o competență adresată prin oferirea unui cadru simulat de elaborare a unei propuneri de politică publică, respectiv proiect de cercetare (care include nu doar dimensiunea științifică ci și implementarea propriu-zisă a proiectului), în funcție de opțiunile și interesele persoanelor care participă la curs și seminar.</w:t>
            </w:r>
          </w:p>
        </w:tc>
      </w:tr>
    </w:tbl>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A5">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Cursul și seminarul sunt organizate pe baza unei strategii de tip învățare bazată pe problematizare (PBL sau </w:t>
      </w:r>
      <w:r w:rsidDel="00000000" w:rsidR="00000000" w:rsidRPr="00000000">
        <w:rPr>
          <w:rFonts w:ascii="Times New Roman" w:cs="Times New Roman" w:eastAsia="Times New Roman" w:hAnsi="Times New Roman"/>
          <w:i w:val="1"/>
          <w:iCs w:val="1"/>
          <w:rtl w:val="0"/>
        </w:rPr>
        <w:t xml:space="preserve">problem based learning)</w:t>
      </w:r>
      <w:r w:rsidDel="00000000" w:rsidR="00000000" w:rsidRPr="00000000">
        <w:rPr>
          <w:rFonts w:ascii="Times New Roman" w:cs="Times New Roman" w:eastAsia="Times New Roman" w:hAnsi="Times New Roman"/>
          <w:rtl w:val="0"/>
        </w:rPr>
        <w:t xml:space="preserve">. PBL reprezintă o metodă de învățare larg utilizată în diferite domenii de activitate, în special în contextul constituirii unor echipe de lucru care vor trebui ulterior procesului de învățare să rezolve împreună sarcini specifice. Această strategie didactică abordează învațarea ca pe un proces dinamic orientate spre dimensiunea aplicativă a învățării. Transmiterea de cunoștiințe se face atât între membrii echipei cât și dinspre tutore / ghid, în cazul nostru cadrele didatice academice. Abordarea presupune formularea unei probleme căreia echipa / grupul de studenți trebuie să îi găsească un răspuns, o soluție, fără a fi familiarizată de la început cu domeniul de studiu / activitate. Pe parcursul activităților membrii echipei sunt încurajați să se organizeze, să își împartă sarcini de lucru și să caute informații pe baza cărora să reușească să elaboreze, folosind raționamente / analize / sinteze proprii conținutul unei rezolvări. Rolul cadrelor didactice este mai degrabă acela de a direcționa, de a sfătui, de a oferi diferite elemente de cunoaștere (concepte teoretice, exemple ale unor situații similare etc.) fără a indica rolul acestor elemente în rezolvarea problemei. </w:t>
      </w:r>
    </w:p>
    <w:p w:rsidR="00000000" w:rsidDel="00000000" w:rsidP="00000000" w:rsidRDefault="00000000" w:rsidRPr="00000000" w14:paraId="000000A6">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 Nu sunt necesare astfel de materiale. Consumabile (precum flipchart / carioci / tabla) si ocazional proiector si laptop sunt necesare pentru derularea activitatilor față în față. </w:t>
      </w:r>
    </w:p>
    <w:p w:rsidR="00000000" w:rsidDel="00000000" w:rsidP="00000000" w:rsidRDefault="00000000" w:rsidRPr="00000000" w14:paraId="000000A7">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0A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Apple, Michael Stephen J. Ball, Luis Armando Gandin (eds.). The Routledge International Handbook of the Sociology of Education. London and New York: Routledge.</w:t>
      </w:r>
    </w:p>
    <w:p w:rsidR="00000000" w:rsidDel="00000000" w:rsidP="00000000" w:rsidRDefault="00000000" w:rsidRPr="00000000" w14:paraId="000000A9">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Bîrzea, Cezar și Ciprian Fartușnic. 2003. Reforming the Romanian System of Education. The agenda ahead. În Change Forces in Post-Communist Eastern Europe. Education in transtion, de Eleoussa Polyzoi, Michael Fullan, John Anchan. London and New York: Routledge.</w:t>
      </w:r>
    </w:p>
    <w:p w:rsidR="00000000" w:rsidDel="00000000" w:rsidP="00000000" w:rsidRDefault="00000000" w:rsidRPr="00000000" w14:paraId="000000A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BLEIKLIE, I. (1998) Justifying the Evaluative State: New Public Management ideals in higher education, European Journal of Education, 33, pp. 299-316.</w:t>
      </w:r>
    </w:p>
    <w:p w:rsidR="00000000" w:rsidDel="00000000" w:rsidP="00000000" w:rsidRDefault="00000000" w:rsidRPr="00000000" w14:paraId="000000A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Buchmann, C. &amp; Hannum, E. (2001). Education and stratification in developing countries: A review of theories and research. Annual Review of Sociology, 27, 77-102</w:t>
      </w:r>
    </w:p>
    <w:p w:rsidR="00000000" w:rsidDel="00000000" w:rsidP="00000000" w:rsidRDefault="00000000" w:rsidRPr="00000000" w14:paraId="000000A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Cerkez, Mirela (coord.), 2009. Evaluarea Programelor și politiclor publice. Teorii, metode și practici. Editura Polirom</w:t>
      </w:r>
    </w:p>
    <w:p w:rsidR="00000000" w:rsidDel="00000000" w:rsidP="00000000" w:rsidRDefault="00000000" w:rsidRPr="00000000" w14:paraId="000000A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Jigău, M. (2000). Învățământul rural din România: condiții, probleme și strategii de dezvoltare (Rural education in Romania: conditions, challenges and strategies of development.). București: MarLink.</w:t>
      </w:r>
    </w:p>
    <w:p w:rsidR="00000000" w:rsidDel="00000000" w:rsidP="00000000" w:rsidRDefault="00000000" w:rsidRPr="00000000" w14:paraId="000000A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Lezotte, Lawrence. N.D. “Revolutionary and Evolutionary: The Effective Schools Movement.” Working paper, Effective Schools website.</w:t>
      </w:r>
    </w:p>
    <w:p w:rsidR="00000000" w:rsidDel="00000000" w:rsidP="00000000" w:rsidRDefault="00000000" w:rsidRPr="00000000" w14:paraId="000000A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Lynch, Kathleen și Claire O’Riordan. 2007. Inequality in higher education. A study of class barriers. În Education and Society. 25 years of the British Journal of Sociology of Education, de Len Barton. New York and London: Routledge.</w:t>
      </w:r>
    </w:p>
    <w:p w:rsidR="00000000" w:rsidDel="00000000" w:rsidP="00000000" w:rsidRDefault="00000000" w:rsidRPr="00000000" w14:paraId="000000B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Machin, S. (2009). Education and Inequality. In W. Salverda, B. Nolan &amp; T. Smeeding (Eds.), The Oxford Handbook of Economic Inequality. Oxford: Oxford University Press.</w:t>
      </w:r>
    </w:p>
    <w:p w:rsidR="00000000" w:rsidDel="00000000" w:rsidP="00000000" w:rsidRDefault="00000000" w:rsidRPr="00000000" w14:paraId="000000B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Mullis, I., Martin, M., Foy, P., Drucker, K. (2012a). PIRLS: 2011 International Results in Reading. Boston: TIMSS &amp; PIRLS International Study Center &amp; Amsterdam: International Association for the Evaluation of Educational Achievement.</w:t>
      </w:r>
    </w:p>
    <w:p w:rsidR="00000000" w:rsidDel="00000000" w:rsidP="00000000" w:rsidRDefault="00000000" w:rsidRPr="00000000" w14:paraId="000000B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Mullis, I., Martin, M., Foy, P., Arora, A. (2012b). TIMSS: 2011 International Results in Mathematics. Boston: TIMSS &amp; PIRLS International Study Center &amp; Amsterdam: International Association for the Evaluation of Educational Achievement.</w:t>
      </w:r>
    </w:p>
    <w:p w:rsidR="00000000" w:rsidDel="00000000" w:rsidP="00000000" w:rsidRDefault="00000000" w:rsidRPr="00000000" w14:paraId="000000B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Martin, M., Mullis, I., Foy, P., Stanco, G. 2012. TIMSS: 2011 International Results in Science. Boston: TIMSS &amp; PIRLS International Study Center &amp; Amsterdam: International Association for the Evaluation of Educational Achievement).</w:t>
      </w:r>
    </w:p>
    <w:p w:rsidR="00000000" w:rsidDel="00000000" w:rsidP="00000000" w:rsidRDefault="00000000" w:rsidRPr="00000000" w14:paraId="000000B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Miroiu, Adrian. 1998. Învăţământul Românesc Azi: Studiu de Diagnoză. Iaşi: Polirom.</w:t>
      </w:r>
    </w:p>
    <w:p w:rsidR="00000000" w:rsidDel="00000000" w:rsidP="00000000" w:rsidRDefault="00000000" w:rsidRPr="00000000" w14:paraId="000000B5">
      <w:pPr>
        <w:spacing w:after="0" w:line="240" w:lineRule="auto"/>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rtl w:val="0"/>
        </w:rPr>
        <w:t xml:space="preserve">- Miroiu, Adrian; Bogdan Florian. 2015. Universitatea românească azi. Editura Tritonic.</w:t>
      </w:r>
      <w:r w:rsidDel="00000000" w:rsidR="00000000" w:rsidRPr="00000000">
        <w:rPr>
          <w:rtl w:val="0"/>
        </w:rPr>
      </w:r>
    </w:p>
    <w:p w:rsidR="00000000" w:rsidDel="00000000" w:rsidP="00000000" w:rsidRDefault="00000000" w:rsidRPr="00000000" w14:paraId="000000B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Murnane, R. &amp; Willett J. (2011). Methods Matter. Improving Causal Inference in Educational and Social Science Research. New York: Oxford University Press.</w:t>
      </w:r>
    </w:p>
    <w:p w:rsidR="00000000" w:rsidDel="00000000" w:rsidP="00000000" w:rsidRDefault="00000000" w:rsidRPr="00000000" w14:paraId="000000B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NEAVE, G. (1998) The Evaluative State Reconsidered, European Journal of Education, 33 (3), pp. 265-284</w:t>
      </w:r>
    </w:p>
    <w:p w:rsidR="00000000" w:rsidDel="00000000" w:rsidP="00000000" w:rsidRDefault="00000000" w:rsidRPr="00000000" w14:paraId="000000B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Sandi, A. &amp; Moarcas, M. (2007). Romania Education Policy Note. Washington D.C.: The World Bank.</w:t>
      </w:r>
    </w:p>
    <w:p w:rsidR="00000000" w:rsidDel="00000000" w:rsidP="00000000" w:rsidRDefault="00000000" w:rsidRPr="00000000" w14:paraId="000000B9">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Tsantis, A. &amp; Pepper, R. (1979). Romania: The Industrialization of an Agrarian Economy under Socialist Planning. Washington D.C.: The World Bank.</w:t>
      </w:r>
    </w:p>
    <w:p w:rsidR="00000000" w:rsidDel="00000000" w:rsidP="00000000" w:rsidRDefault="00000000" w:rsidRPr="00000000" w14:paraId="000000B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Păunescu, Mihai (coord.), 2008. Management Public în România. Editura Polirom</w:t>
      </w:r>
    </w:p>
    <w:p w:rsidR="00000000" w:rsidDel="00000000" w:rsidP="00000000" w:rsidRDefault="00000000" w:rsidRPr="00000000" w14:paraId="000000B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Ruegg, W. 2011. A History of the University in Europe (vol III &amp; vol IV), Cambridge University Press.</w:t>
      </w:r>
    </w:p>
    <w:p w:rsidR="00000000" w:rsidDel="00000000" w:rsidP="00000000" w:rsidRDefault="00000000" w:rsidRPr="00000000" w14:paraId="000000B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Vlasceanu, L. (Ed.) (2002). Școala la Răscruce. Schimbare și continuitate în curriculumul învățământului obligatoriu. Studiu de impact (School at the Crossroads. Change and continuity in the compulsory education curriculum). Iași, Polirom.</w:t>
      </w:r>
    </w:p>
    <w:p w:rsidR="00000000" w:rsidDel="00000000" w:rsidP="00000000" w:rsidRDefault="00000000" w:rsidRPr="00000000" w14:paraId="000000B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Vlăsceanu, L.; Gabriel Marian Hâncean, 2015, Modernitate Românească. Editura Paralela 45.</w:t>
      </w:r>
    </w:p>
    <w:p w:rsidR="00000000" w:rsidDel="00000000" w:rsidP="00000000" w:rsidRDefault="00000000" w:rsidRPr="00000000" w14:paraId="000000BE">
      <w:pPr>
        <w:spacing w:line="36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 World Bank (2003). Romania: World Bank Helps Improve Rural Education. Washington D.C.: The World Bank.</w:t>
      </w:r>
      <w:r w:rsidDel="00000000" w:rsidR="00000000" w:rsidRPr="00000000">
        <w:rPr>
          <w:rtl w:val="0"/>
        </w:rPr>
      </w:r>
    </w:p>
    <w:p w:rsidR="00000000" w:rsidDel="00000000" w:rsidP="00000000" w:rsidRDefault="00000000" w:rsidRPr="00000000" w14:paraId="000000BF">
      <w:pPr>
        <w:ind w:right="-567"/>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C0">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TITULAR DE DISCIPLINĂ, </w:t>
      </w: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Lect</w:t>
      </w:r>
      <w:r w:rsidDel="00000000" w:rsidR="00000000" w:rsidRPr="00000000">
        <w:rPr>
          <w:rFonts w:ascii="Times New Roman" w:cs="Times New Roman" w:eastAsia="Times New Roman" w:hAnsi="Times New Roman"/>
          <w:color w:val="000000"/>
          <w:rtl w:val="0"/>
        </w:rPr>
        <w:t xml:space="preserve">. Univ. Dr. </w:t>
      </w:r>
      <w:r w:rsidDel="00000000" w:rsidR="00000000" w:rsidRPr="00000000">
        <w:rPr>
          <w:rFonts w:ascii="Times New Roman" w:cs="Times New Roman" w:eastAsia="Times New Roman" w:hAnsi="Times New Roman"/>
          <w:rtl w:val="0"/>
        </w:rPr>
        <w:t xml:space="preserve">Claudiu Craciun</w:t>
      </w:r>
      <w:r w:rsidDel="00000000" w:rsidR="00000000" w:rsidRPr="00000000">
        <w:rPr>
          <w:rFonts w:ascii="Times New Roman" w:cs="Times New Roman" w:eastAsia="Times New Roman" w:hAnsi="Times New Roman"/>
          <w:color w:val="000000"/>
          <w:rtl w:val="0"/>
        </w:rPr>
        <w:t xml:space="preserve">                                                      Lect. Univ. Dr. Bogdan Florian</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C3">
      <w:pPr>
        <w:spacing w:line="360" w:lineRule="auto"/>
        <w:ind w:right="-567"/>
        <w:rPr>
          <w:rFonts w:ascii="Times New Roman" w:cs="Times New Roman" w:eastAsia="Times New Roman" w:hAnsi="Times New Roman"/>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7">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9">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4">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color w:val="000000"/>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6">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lvl>
    <w:lvl w:ilvl="1">
      <w:start w:val="0"/>
      <w:numFmt w:val="bullet"/>
      <w:lvlText w:val="-"/>
      <w:lvlJc w:val="left"/>
      <w:pPr>
        <w:ind w:left="1785" w:hanging="705"/>
      </w:pPr>
      <w:rPr>
        <w:rFonts w:ascii="Times New Roman" w:cs="Times New Roman" w:eastAsia="Times New Roman" w:hAnsi="Times New Roman"/>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2"/>
      <w:numFmt w:val="bullet"/>
      <w:lvlText w:val="•"/>
      <w:lvlJc w:val="left"/>
      <w:pPr>
        <w:ind w:left="1785" w:hanging="705"/>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PYngwb5iSk9/SxkFvDQRcolFLw==">CgMxLjA4AHIhMXAyT0R6bXNMcEpncXZCNE5LTTg0ckV6Q2dmY254YXZf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2020-05-14T12:23:00Z</dcterms:created>
  <dc:creator>33</dc:creator>
</cp:coreProperties>
</file>